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A01CF">
        <w:rPr>
          <w:color w:val="000000"/>
          <w:sz w:val="28"/>
          <w:szCs w:val="28"/>
        </w:rPr>
        <w:t>04</w:t>
      </w:r>
      <w:r w:rsidR="003A3D27">
        <w:rPr>
          <w:color w:val="000000"/>
          <w:sz w:val="28"/>
          <w:szCs w:val="28"/>
        </w:rPr>
        <w:t xml:space="preserve"> </w:t>
      </w:r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F93D82">
        <w:rPr>
          <w:color w:val="000000"/>
          <w:sz w:val="28"/>
          <w:szCs w:val="28"/>
        </w:rPr>
        <w:t>93</w:t>
      </w:r>
    </w:p>
    <w:p w:rsidR="00CA01CF" w:rsidRPr="00750B99" w:rsidRDefault="00CA01CF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BB069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F93D82" w:rsidP="00BB06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93D82">
              <w:rPr>
                <w:b/>
                <w:color w:val="000000"/>
                <w:sz w:val="28"/>
                <w:szCs w:val="28"/>
              </w:rPr>
              <w:t>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F93D82" w:rsidP="00F93D82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93D82">
        <w:rPr>
          <w:sz w:val="26"/>
          <w:szCs w:val="26"/>
        </w:rPr>
        <w:t xml:space="preserve">В соответствии с п. 2 ст. 11 Федерального закона от 25.12.2008 N 273-ФЗ "О противодействии коррупции",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</w:t>
      </w:r>
      <w:proofErr w:type="spellStart"/>
      <w:r w:rsidR="0004453D">
        <w:rPr>
          <w:sz w:val="26"/>
          <w:szCs w:val="26"/>
        </w:rPr>
        <w:t>Калачеевского</w:t>
      </w:r>
      <w:proofErr w:type="spellEnd"/>
      <w:r w:rsidR="0004453D">
        <w:rPr>
          <w:sz w:val="26"/>
          <w:szCs w:val="26"/>
        </w:rPr>
        <w:t xml:space="preserve">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F93D82" w:rsidRDefault="006F5E57" w:rsidP="00F93D8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0D18CE">
        <w:rPr>
          <w:sz w:val="26"/>
          <w:szCs w:val="26"/>
          <w:lang w:eastAsia="ru-RU"/>
        </w:rPr>
        <w:t xml:space="preserve"> </w:t>
      </w:r>
      <w:r w:rsidR="00F93D82" w:rsidRPr="00F93D82">
        <w:rPr>
          <w:sz w:val="26"/>
          <w:szCs w:val="26"/>
          <w:lang w:eastAsia="ru-RU"/>
        </w:rPr>
        <w:t>Утвердить прилагаемое 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5E57" w:rsidRPr="006F5E57" w:rsidRDefault="00CA01CF" w:rsidP="00F93D8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F5E57" w:rsidRPr="006F5E57">
        <w:rPr>
          <w:sz w:val="26"/>
          <w:szCs w:val="26"/>
          <w:lang w:eastAsia="ru-RU"/>
        </w:rPr>
        <w:t xml:space="preserve">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="006F5E57"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</w:t>
      </w:r>
      <w:proofErr w:type="spellStart"/>
      <w:r w:rsidR="006F5E57" w:rsidRPr="006F5E57">
        <w:rPr>
          <w:sz w:val="26"/>
          <w:szCs w:val="26"/>
          <w:lang w:eastAsia="ru-RU"/>
        </w:rPr>
        <w:t>Калачеевского</w:t>
      </w:r>
      <w:proofErr w:type="spellEnd"/>
      <w:r w:rsidR="006F5E57" w:rsidRPr="006F5E57">
        <w:rPr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6F5E57" w:rsidRPr="006F5E57" w:rsidRDefault="00F93D82" w:rsidP="00F93D8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6F5E57" w:rsidRPr="006F5E57">
        <w:rPr>
          <w:sz w:val="26"/>
          <w:szCs w:val="26"/>
          <w:lang w:eastAsia="ru-RU"/>
        </w:rPr>
        <w:t xml:space="preserve">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F93D82" w:rsidRDefault="00F93D82" w:rsidP="003F00E5">
      <w:pPr>
        <w:jc w:val="both"/>
        <w:rPr>
          <w:b/>
          <w:bCs/>
          <w:sz w:val="28"/>
          <w:szCs w:val="28"/>
        </w:rPr>
      </w:pPr>
    </w:p>
    <w:p w:rsidR="00F93D82" w:rsidRDefault="00F93D82" w:rsidP="003F00E5">
      <w:pPr>
        <w:jc w:val="both"/>
        <w:rPr>
          <w:b/>
          <w:bCs/>
          <w:sz w:val="28"/>
          <w:szCs w:val="28"/>
        </w:rPr>
      </w:pPr>
    </w:p>
    <w:p w:rsidR="00F93D82" w:rsidRDefault="00F93D82" w:rsidP="003F00E5">
      <w:pPr>
        <w:jc w:val="both"/>
        <w:rPr>
          <w:b/>
          <w:bCs/>
          <w:sz w:val="28"/>
          <w:szCs w:val="28"/>
        </w:rPr>
      </w:pPr>
    </w:p>
    <w:p w:rsidR="00F93D82" w:rsidRDefault="00F93D82" w:rsidP="003F00E5">
      <w:pPr>
        <w:jc w:val="both"/>
        <w:rPr>
          <w:b/>
          <w:bCs/>
          <w:sz w:val="28"/>
          <w:szCs w:val="28"/>
        </w:rPr>
      </w:pPr>
    </w:p>
    <w:tbl>
      <w:tblPr>
        <w:tblStyle w:val="af6"/>
        <w:tblW w:w="4677" w:type="dxa"/>
        <w:tblInd w:w="4786" w:type="dxa"/>
        <w:tblLook w:val="04A0" w:firstRow="1" w:lastRow="0" w:firstColumn="1" w:lastColumn="0" w:noHBand="0" w:noVBand="1"/>
      </w:tblPr>
      <w:tblGrid>
        <w:gridCol w:w="4677"/>
      </w:tblGrid>
      <w:tr w:rsidR="003005B8" w:rsidRPr="007050A0" w:rsidTr="00414F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01CF" w:rsidRDefault="00CA01CF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6F5E57" w:rsidRDefault="00F93D82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Утверждено</w:t>
            </w:r>
          </w:p>
          <w:p w:rsidR="003005B8" w:rsidRPr="007050A0" w:rsidRDefault="000D18CE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решени</w:t>
            </w:r>
            <w:r w:rsidR="00F93D82">
              <w:rPr>
                <w:sz w:val="26"/>
                <w:szCs w:val="26"/>
                <w:lang w:eastAsia="ru-RU"/>
              </w:rPr>
              <w:t>ем</w:t>
            </w:r>
            <w:r w:rsidR="00591F8A">
              <w:rPr>
                <w:sz w:val="26"/>
                <w:szCs w:val="26"/>
                <w:lang w:eastAsia="ru-RU"/>
              </w:rPr>
              <w:t xml:space="preserve"> Совета народных депутатов</w:t>
            </w:r>
            <w:r w:rsidR="003005B8" w:rsidRPr="007050A0">
              <w:rPr>
                <w:sz w:val="26"/>
                <w:szCs w:val="26"/>
                <w:lang w:eastAsia="ru-RU"/>
              </w:rPr>
              <w:t xml:space="preserve"> Пригородного сельского поселения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Калачеевского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  <w:p w:rsidR="003005B8" w:rsidRPr="007050A0" w:rsidRDefault="006F5E57" w:rsidP="00CA01C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A01CF">
              <w:rPr>
                <w:sz w:val="26"/>
                <w:szCs w:val="26"/>
                <w:lang w:eastAsia="ru-RU"/>
              </w:rPr>
              <w:t xml:space="preserve">от </w:t>
            </w:r>
            <w:r w:rsidR="00591F8A" w:rsidRPr="00CA01CF">
              <w:rPr>
                <w:sz w:val="26"/>
                <w:szCs w:val="26"/>
                <w:lang w:eastAsia="ru-RU"/>
              </w:rPr>
              <w:t>0</w:t>
            </w:r>
            <w:r w:rsidR="00F93D82">
              <w:rPr>
                <w:sz w:val="26"/>
                <w:szCs w:val="26"/>
                <w:lang w:eastAsia="ru-RU"/>
              </w:rPr>
              <w:t>4 августа 2017 года № 93</w:t>
            </w:r>
          </w:p>
        </w:tc>
      </w:tr>
    </w:tbl>
    <w:p w:rsidR="003005B8" w:rsidRPr="007050A0" w:rsidRDefault="003005B8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jc w:val="center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Положение</w:t>
      </w:r>
    </w:p>
    <w:p w:rsidR="003005B8" w:rsidRPr="00BB069A" w:rsidRDefault="00F93D82" w:rsidP="00F93D82">
      <w:pPr>
        <w:suppressAutoHyphens w:val="0"/>
        <w:jc w:val="center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  <w:lang w:eastAsia="ru-RU"/>
        </w:rPr>
        <w:t xml:space="preserve"> </w:t>
      </w: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Default="00F93D82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1.</w:t>
      </w:r>
      <w:r w:rsidRPr="00F93D82">
        <w:rPr>
          <w:sz w:val="26"/>
          <w:szCs w:val="26"/>
          <w:lang w:eastAsia="ru-RU"/>
        </w:rPr>
        <w:tab/>
        <w:t xml:space="preserve">Настоящее Положение определяет порядок сообщения муниципальными служащими, замещающими должности муниципальной службы в </w:t>
      </w:r>
      <w:r>
        <w:rPr>
          <w:sz w:val="26"/>
          <w:szCs w:val="26"/>
          <w:lang w:eastAsia="ru-RU"/>
        </w:rPr>
        <w:t xml:space="preserve">администрации Пригородного сельского поселения </w:t>
      </w:r>
      <w:proofErr w:type="spellStart"/>
      <w:r>
        <w:rPr>
          <w:sz w:val="26"/>
          <w:szCs w:val="26"/>
          <w:lang w:eastAsia="ru-RU"/>
        </w:rPr>
        <w:t>Калачеевского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</w:t>
      </w:r>
      <w:r w:rsidRPr="00F93D82">
        <w:rPr>
          <w:sz w:val="26"/>
          <w:szCs w:val="26"/>
          <w:lang w:eastAsia="ru-RU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2.</w:t>
      </w:r>
      <w:r w:rsidRPr="00F93D82">
        <w:rPr>
          <w:sz w:val="26"/>
          <w:szCs w:val="26"/>
          <w:lang w:eastAsia="ru-RU"/>
        </w:rPr>
        <w:tab/>
        <w:t xml:space="preserve"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3.</w:t>
      </w:r>
      <w:r w:rsidRPr="00F93D82">
        <w:rPr>
          <w:sz w:val="26"/>
          <w:szCs w:val="26"/>
          <w:lang w:eastAsia="ru-RU"/>
        </w:rPr>
        <w:tab/>
        <w:t xml:space="preserve">Уведомление направляют главе </w:t>
      </w:r>
      <w:r w:rsidR="008A155B">
        <w:rPr>
          <w:sz w:val="26"/>
          <w:szCs w:val="26"/>
          <w:lang w:eastAsia="ru-RU"/>
        </w:rPr>
        <w:t>Пригородного сельского поселения</w:t>
      </w:r>
      <w:r w:rsidRPr="00F93D82">
        <w:rPr>
          <w:sz w:val="26"/>
          <w:szCs w:val="26"/>
          <w:lang w:eastAsia="ru-RU"/>
        </w:rPr>
        <w:t xml:space="preserve"> </w:t>
      </w:r>
      <w:proofErr w:type="spellStart"/>
      <w:r w:rsidRPr="00F93D82">
        <w:rPr>
          <w:sz w:val="26"/>
          <w:szCs w:val="26"/>
          <w:lang w:eastAsia="ru-RU"/>
        </w:rPr>
        <w:t>Калачеевского</w:t>
      </w:r>
      <w:proofErr w:type="spellEnd"/>
      <w:r w:rsidRPr="00F93D82">
        <w:rPr>
          <w:sz w:val="26"/>
          <w:szCs w:val="26"/>
          <w:lang w:eastAsia="ru-RU"/>
        </w:rPr>
        <w:t xml:space="preserve"> муниципального района, составленное по форме согласно </w:t>
      </w:r>
      <w:proofErr w:type="gramStart"/>
      <w:r w:rsidRPr="00F93D82">
        <w:rPr>
          <w:sz w:val="26"/>
          <w:szCs w:val="26"/>
          <w:lang w:eastAsia="ru-RU"/>
        </w:rPr>
        <w:t>приложению</w:t>
      </w:r>
      <w:proofErr w:type="gramEnd"/>
      <w:r w:rsidRPr="00F93D82">
        <w:rPr>
          <w:sz w:val="26"/>
          <w:szCs w:val="26"/>
          <w:lang w:eastAsia="ru-RU"/>
        </w:rPr>
        <w:t xml:space="preserve"> к настоящему Положению.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4.</w:t>
      </w:r>
      <w:r w:rsidRPr="00F93D82">
        <w:rPr>
          <w:sz w:val="26"/>
          <w:szCs w:val="26"/>
          <w:lang w:eastAsia="ru-RU"/>
        </w:rPr>
        <w:tab/>
        <w:t xml:space="preserve">Уведомления, направленные главе </w:t>
      </w:r>
      <w:r>
        <w:rPr>
          <w:sz w:val="26"/>
          <w:szCs w:val="26"/>
          <w:lang w:eastAsia="ru-RU"/>
        </w:rPr>
        <w:t>Пригородного сельского поселен</w:t>
      </w:r>
      <w:r w:rsidR="008A155B">
        <w:rPr>
          <w:sz w:val="26"/>
          <w:szCs w:val="26"/>
          <w:lang w:eastAsia="ru-RU"/>
        </w:rPr>
        <w:t xml:space="preserve">ия </w:t>
      </w:r>
      <w:proofErr w:type="spellStart"/>
      <w:r w:rsidR="008A155B">
        <w:rPr>
          <w:sz w:val="26"/>
          <w:szCs w:val="26"/>
          <w:lang w:eastAsia="ru-RU"/>
        </w:rPr>
        <w:t>Калачеевского</w:t>
      </w:r>
      <w:proofErr w:type="spellEnd"/>
      <w:r w:rsidR="008A155B">
        <w:rPr>
          <w:sz w:val="26"/>
          <w:szCs w:val="26"/>
          <w:lang w:eastAsia="ru-RU"/>
        </w:rPr>
        <w:t xml:space="preserve"> муниципального </w:t>
      </w:r>
      <w:r>
        <w:rPr>
          <w:sz w:val="26"/>
          <w:szCs w:val="26"/>
          <w:lang w:eastAsia="ru-RU"/>
        </w:rPr>
        <w:t>района</w:t>
      </w:r>
      <w:r w:rsidR="008A155B">
        <w:rPr>
          <w:sz w:val="26"/>
          <w:szCs w:val="26"/>
          <w:lang w:eastAsia="ru-RU"/>
        </w:rPr>
        <w:t xml:space="preserve">, </w:t>
      </w:r>
      <w:r w:rsidRPr="00F93D82">
        <w:rPr>
          <w:sz w:val="26"/>
          <w:szCs w:val="26"/>
          <w:lang w:eastAsia="ru-RU"/>
        </w:rPr>
        <w:t>могут быть переданы в</w:t>
      </w:r>
      <w:r w:rsidR="008A155B">
        <w:rPr>
          <w:sz w:val="26"/>
          <w:szCs w:val="26"/>
          <w:lang w:eastAsia="ru-RU"/>
        </w:rPr>
        <w:t xml:space="preserve"> комиссию</w:t>
      </w:r>
      <w:r w:rsidR="008A155B" w:rsidRPr="008A155B">
        <w:rPr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администрации Пригородного сельского поселения </w:t>
      </w:r>
      <w:proofErr w:type="spellStart"/>
      <w:r w:rsidR="008A155B" w:rsidRPr="008A155B">
        <w:rPr>
          <w:sz w:val="26"/>
          <w:szCs w:val="26"/>
          <w:lang w:eastAsia="ru-RU"/>
        </w:rPr>
        <w:t>Калачеевского</w:t>
      </w:r>
      <w:proofErr w:type="spellEnd"/>
      <w:r w:rsidR="008A155B" w:rsidRPr="008A155B">
        <w:rPr>
          <w:sz w:val="26"/>
          <w:szCs w:val="26"/>
          <w:lang w:eastAsia="ru-RU"/>
        </w:rPr>
        <w:t xml:space="preserve"> муниципального района Воронежской области и урегулированию конфликта интересов</w:t>
      </w:r>
      <w:r w:rsidRPr="008A155B">
        <w:rPr>
          <w:sz w:val="26"/>
          <w:szCs w:val="26"/>
          <w:lang w:eastAsia="ru-RU"/>
        </w:rPr>
        <w:t xml:space="preserve"> (далее - комиссия).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5.</w:t>
      </w:r>
      <w:r w:rsidRPr="00F93D82">
        <w:rPr>
          <w:sz w:val="26"/>
          <w:szCs w:val="26"/>
          <w:lang w:eastAsia="ru-RU"/>
        </w:rPr>
        <w:tab/>
        <w:t xml:space="preserve">В ходе предварительного рассмотрения уведомлений должностные лица отдела имеют право получать в установленном порядке от муниципальных служащих, направивших уведомления, пояснения по изложенным в них обстоятельствам, а глава </w:t>
      </w:r>
      <w:r>
        <w:rPr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>
        <w:rPr>
          <w:sz w:val="26"/>
          <w:szCs w:val="26"/>
          <w:lang w:eastAsia="ru-RU"/>
        </w:rPr>
        <w:t>Калачеевского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</w:t>
      </w:r>
      <w:r w:rsidRPr="00F93D82">
        <w:rPr>
          <w:sz w:val="26"/>
          <w:szCs w:val="26"/>
          <w:lang w:eastAsia="ru-RU"/>
        </w:rPr>
        <w:t xml:space="preserve">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 местного самоуправления и заинтересованные организации. 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6.</w:t>
      </w:r>
      <w:r w:rsidRPr="00F93D82">
        <w:rPr>
          <w:sz w:val="26"/>
          <w:szCs w:val="26"/>
          <w:lang w:eastAsia="ru-RU"/>
        </w:rPr>
        <w:tab/>
        <w:t xml:space="preserve">По результатам предварительного рассмотрения уведомлений, поступивших в соответствии с пунктом 5 настоящего Положения, </w:t>
      </w:r>
      <w:r w:rsidR="008A155B">
        <w:rPr>
          <w:sz w:val="26"/>
          <w:szCs w:val="26"/>
          <w:lang w:eastAsia="ru-RU"/>
        </w:rPr>
        <w:t xml:space="preserve">комиссией </w:t>
      </w:r>
      <w:r w:rsidRPr="00F93D82">
        <w:rPr>
          <w:sz w:val="26"/>
          <w:szCs w:val="26"/>
          <w:lang w:eastAsia="ru-RU"/>
        </w:rPr>
        <w:t>подготавливается мотивированное заключение на каждое из них.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</w:t>
      </w:r>
      <w:r w:rsidR="008A155B">
        <w:rPr>
          <w:sz w:val="26"/>
          <w:szCs w:val="26"/>
          <w:lang w:eastAsia="ru-RU"/>
        </w:rPr>
        <w:t>администрацию Пригородного сельского поселения</w:t>
      </w:r>
      <w:r w:rsidRPr="00F93D82">
        <w:rPr>
          <w:sz w:val="26"/>
          <w:szCs w:val="26"/>
          <w:lang w:eastAsia="ru-RU"/>
        </w:rPr>
        <w:t>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В случае направления запросов, указанных в пункт</w:t>
      </w:r>
      <w:r w:rsidR="008A155B">
        <w:rPr>
          <w:sz w:val="26"/>
          <w:szCs w:val="26"/>
          <w:lang w:eastAsia="ru-RU"/>
        </w:rPr>
        <w:t>е</w:t>
      </w:r>
      <w:r w:rsidRPr="00F93D82">
        <w:rPr>
          <w:sz w:val="26"/>
          <w:szCs w:val="26"/>
          <w:lang w:eastAsia="ru-RU"/>
        </w:rPr>
        <w:t xml:space="preserve">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</w:t>
      </w:r>
      <w:r w:rsidR="008A155B">
        <w:rPr>
          <w:sz w:val="26"/>
          <w:szCs w:val="26"/>
          <w:lang w:eastAsia="ru-RU"/>
        </w:rPr>
        <w:t>администрацию</w:t>
      </w:r>
      <w:r w:rsidRPr="00F93D82">
        <w:rPr>
          <w:sz w:val="26"/>
          <w:szCs w:val="26"/>
          <w:lang w:eastAsia="ru-RU"/>
        </w:rPr>
        <w:t>. Указанный срок может быть продлен, но не более чем на 30 дней.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7.</w:t>
      </w:r>
      <w:r w:rsidRPr="00F93D82">
        <w:rPr>
          <w:sz w:val="26"/>
          <w:szCs w:val="26"/>
          <w:lang w:eastAsia="ru-RU"/>
        </w:rPr>
        <w:tab/>
        <w:t xml:space="preserve">По результатам рассмотрения главой </w:t>
      </w:r>
      <w:r>
        <w:rPr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>
        <w:rPr>
          <w:sz w:val="26"/>
          <w:szCs w:val="26"/>
          <w:lang w:eastAsia="ru-RU"/>
        </w:rPr>
        <w:t>Калачеевского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</w:t>
      </w:r>
      <w:r w:rsidRPr="00F93D82">
        <w:rPr>
          <w:sz w:val="26"/>
          <w:szCs w:val="26"/>
          <w:lang w:eastAsia="ru-RU"/>
        </w:rPr>
        <w:t>уведомлений принимается одно из следующих решений: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F93D82" w:rsidRPr="00F93D82" w:rsidRDefault="008A155B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r w:rsidR="00F93D82" w:rsidRPr="00F93D82">
        <w:rPr>
          <w:sz w:val="26"/>
          <w:szCs w:val="26"/>
          <w:lang w:eastAsia="ru-RU"/>
        </w:rPr>
        <w:t xml:space="preserve">В случае принятия решения, предусмотренного подпунктами «б» и «в» пункта 7 настоящего Положения, в соответствии с законодательством Российской Федерации глава </w:t>
      </w:r>
      <w:r w:rsidR="00F93D82">
        <w:rPr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 w:rsidR="00F93D82">
        <w:rPr>
          <w:sz w:val="26"/>
          <w:szCs w:val="26"/>
          <w:lang w:eastAsia="ru-RU"/>
        </w:rPr>
        <w:t>Калачеевского</w:t>
      </w:r>
      <w:proofErr w:type="spellEnd"/>
      <w:r w:rsidR="00F93D82">
        <w:rPr>
          <w:sz w:val="26"/>
          <w:szCs w:val="26"/>
          <w:lang w:eastAsia="ru-RU"/>
        </w:rPr>
        <w:t xml:space="preserve"> муниципального района </w:t>
      </w:r>
      <w:r w:rsidR="00F93D82" w:rsidRPr="00F93D82">
        <w:rPr>
          <w:sz w:val="26"/>
          <w:szCs w:val="26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9.</w:t>
      </w:r>
      <w:r w:rsidRPr="00F93D82">
        <w:rPr>
          <w:sz w:val="26"/>
          <w:szCs w:val="26"/>
          <w:lang w:eastAsia="ru-RU"/>
        </w:rPr>
        <w:tab/>
        <w:t xml:space="preserve">Комиссия рассматривает уведомления и принимает по ним решения в порядке, установленном Положением о </w:t>
      </w:r>
      <w:r w:rsidR="00574412" w:rsidRPr="00574412">
        <w:rPr>
          <w:sz w:val="26"/>
          <w:szCs w:val="26"/>
          <w:lang w:eastAsia="ru-RU"/>
        </w:rPr>
        <w:t xml:space="preserve">комиссии по соблюдению требований к служебному поведению муниципальных служащих администрации Пригородного сельского поселения </w:t>
      </w:r>
      <w:proofErr w:type="spellStart"/>
      <w:r w:rsidR="00574412" w:rsidRPr="00574412">
        <w:rPr>
          <w:sz w:val="26"/>
          <w:szCs w:val="26"/>
          <w:lang w:eastAsia="ru-RU"/>
        </w:rPr>
        <w:t>Калачеевского</w:t>
      </w:r>
      <w:proofErr w:type="spellEnd"/>
      <w:r w:rsidR="00574412" w:rsidRPr="00574412">
        <w:rPr>
          <w:sz w:val="26"/>
          <w:szCs w:val="26"/>
          <w:lang w:eastAsia="ru-RU"/>
        </w:rPr>
        <w:t xml:space="preserve"> муниципального района Воронежской области и урегулированию конфликта интересов</w:t>
      </w:r>
      <w:r w:rsidRPr="00F93D82">
        <w:rPr>
          <w:sz w:val="26"/>
          <w:szCs w:val="26"/>
          <w:lang w:eastAsia="ru-RU"/>
        </w:rPr>
        <w:t xml:space="preserve">, утвержденным </w:t>
      </w:r>
      <w:r w:rsidR="00574412">
        <w:rPr>
          <w:sz w:val="26"/>
          <w:szCs w:val="26"/>
          <w:lang w:eastAsia="ru-RU"/>
        </w:rPr>
        <w:t xml:space="preserve">решением Совета народных депутатов </w:t>
      </w:r>
      <w:r>
        <w:rPr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>
        <w:rPr>
          <w:sz w:val="26"/>
          <w:szCs w:val="26"/>
          <w:lang w:eastAsia="ru-RU"/>
        </w:rPr>
        <w:t>Калачеевского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</w:t>
      </w:r>
      <w:r w:rsidRPr="00F93D82">
        <w:rPr>
          <w:sz w:val="26"/>
          <w:szCs w:val="26"/>
          <w:lang w:eastAsia="ru-RU"/>
        </w:rPr>
        <w:t xml:space="preserve">от </w:t>
      </w:r>
      <w:r w:rsidR="00574412">
        <w:rPr>
          <w:sz w:val="26"/>
          <w:szCs w:val="26"/>
          <w:lang w:eastAsia="ru-RU"/>
        </w:rPr>
        <w:t>04.08</w:t>
      </w:r>
      <w:r w:rsidRPr="00F93D82">
        <w:rPr>
          <w:sz w:val="26"/>
          <w:szCs w:val="26"/>
          <w:lang w:eastAsia="ru-RU"/>
        </w:rPr>
        <w:t>.201</w:t>
      </w:r>
      <w:r w:rsidR="00574412">
        <w:rPr>
          <w:sz w:val="26"/>
          <w:szCs w:val="26"/>
          <w:lang w:eastAsia="ru-RU"/>
        </w:rPr>
        <w:t>7 г. № 91</w:t>
      </w:r>
      <w:r w:rsidRPr="00F93D82">
        <w:rPr>
          <w:sz w:val="26"/>
          <w:szCs w:val="26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</w:t>
      </w:r>
      <w:r>
        <w:rPr>
          <w:sz w:val="26"/>
          <w:szCs w:val="26"/>
          <w:lang w:eastAsia="ru-RU"/>
        </w:rPr>
        <w:t xml:space="preserve">администрации Пригородного сельского поселения </w:t>
      </w:r>
      <w:proofErr w:type="spellStart"/>
      <w:r>
        <w:rPr>
          <w:sz w:val="26"/>
          <w:szCs w:val="26"/>
          <w:lang w:eastAsia="ru-RU"/>
        </w:rPr>
        <w:t>Калачеевского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</w:t>
      </w:r>
      <w:r w:rsidR="00574412">
        <w:rPr>
          <w:sz w:val="26"/>
          <w:szCs w:val="26"/>
          <w:lang w:eastAsia="ru-RU"/>
        </w:rPr>
        <w:t xml:space="preserve"> Воронежской области</w:t>
      </w:r>
      <w:r>
        <w:rPr>
          <w:sz w:val="26"/>
          <w:szCs w:val="26"/>
          <w:lang w:eastAsia="ru-RU"/>
        </w:rPr>
        <w:t xml:space="preserve"> </w:t>
      </w:r>
      <w:r w:rsidRPr="00F93D82">
        <w:rPr>
          <w:sz w:val="26"/>
          <w:szCs w:val="26"/>
          <w:lang w:eastAsia="ru-RU"/>
        </w:rPr>
        <w:t>и урегулированию конфликта интересов».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74412" w:rsidRPr="00F93D82" w:rsidRDefault="0057441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6"/>
        <w:tblW w:w="524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74412" w:rsidTr="00574412">
        <w:tc>
          <w:tcPr>
            <w:tcW w:w="5245" w:type="dxa"/>
          </w:tcPr>
          <w:p w:rsidR="00574412" w:rsidRPr="00F93D82" w:rsidRDefault="00574412" w:rsidP="0057441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93D82">
              <w:rPr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574412" w:rsidRDefault="00574412" w:rsidP="00F93D8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93D82">
              <w:rPr>
                <w:sz w:val="26"/>
                <w:szCs w:val="26"/>
                <w:lang w:eastAsia="ru-RU"/>
              </w:rPr>
              <w:t>к Положению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sz w:val="26"/>
                <w:szCs w:val="26"/>
                <w:lang w:eastAsia="ru-RU"/>
              </w:rPr>
              <w:t xml:space="preserve"> привести к конфликту интересов</w:t>
            </w:r>
          </w:p>
        </w:tc>
      </w:tr>
    </w:tbl>
    <w:p w:rsidR="00574412" w:rsidRDefault="0057441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B968D4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(отметка об ознакомлении)</w:t>
      </w:r>
    </w:p>
    <w:p w:rsidR="00B968D4" w:rsidRDefault="00F93D82" w:rsidP="00B968D4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 xml:space="preserve">Главе </w:t>
      </w:r>
      <w:r w:rsidR="00B968D4">
        <w:rPr>
          <w:sz w:val="26"/>
          <w:szCs w:val="26"/>
          <w:lang w:eastAsia="ru-RU"/>
        </w:rPr>
        <w:t xml:space="preserve">Пригородного сельского поселения </w:t>
      </w:r>
    </w:p>
    <w:p w:rsidR="00F93D82" w:rsidRPr="00F93D82" w:rsidRDefault="00B968D4" w:rsidP="00B968D4">
      <w:pPr>
        <w:suppressAutoHyphens w:val="0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</w:t>
      </w:r>
      <w:proofErr w:type="spellStart"/>
      <w:r w:rsidR="00F93D82" w:rsidRPr="00F93D82">
        <w:rPr>
          <w:sz w:val="26"/>
          <w:szCs w:val="26"/>
          <w:lang w:eastAsia="ru-RU"/>
        </w:rPr>
        <w:t>Калачеевского</w:t>
      </w:r>
      <w:proofErr w:type="spellEnd"/>
      <w:r w:rsidR="00F93D82" w:rsidRPr="00F93D82">
        <w:rPr>
          <w:sz w:val="26"/>
          <w:szCs w:val="26"/>
          <w:lang w:eastAsia="ru-RU"/>
        </w:rPr>
        <w:t xml:space="preserve"> муниципального района</w:t>
      </w:r>
    </w:p>
    <w:p w:rsidR="00F93D82" w:rsidRDefault="00F93D82" w:rsidP="00B968D4">
      <w:pPr>
        <w:suppressAutoHyphens w:val="0"/>
        <w:ind w:firstLine="709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 xml:space="preserve"> </w:t>
      </w:r>
      <w:r w:rsidR="00B968D4">
        <w:rPr>
          <w:sz w:val="26"/>
          <w:szCs w:val="26"/>
          <w:lang w:eastAsia="ru-RU"/>
        </w:rPr>
        <w:t xml:space="preserve">                                                             </w:t>
      </w:r>
      <w:proofErr w:type="gramStart"/>
      <w:r w:rsidRPr="00F93D82">
        <w:rPr>
          <w:sz w:val="26"/>
          <w:szCs w:val="26"/>
          <w:lang w:eastAsia="ru-RU"/>
        </w:rPr>
        <w:t>от  _</w:t>
      </w:r>
      <w:proofErr w:type="gramEnd"/>
      <w:r w:rsidRPr="00F93D82">
        <w:rPr>
          <w:sz w:val="26"/>
          <w:szCs w:val="26"/>
          <w:lang w:eastAsia="ru-RU"/>
        </w:rPr>
        <w:t>___________________________</w:t>
      </w:r>
      <w:r w:rsidR="00B968D4">
        <w:rPr>
          <w:sz w:val="26"/>
          <w:szCs w:val="26"/>
          <w:lang w:eastAsia="ru-RU"/>
        </w:rPr>
        <w:t>____</w:t>
      </w:r>
    </w:p>
    <w:p w:rsidR="00B968D4" w:rsidRDefault="00B968D4" w:rsidP="00B968D4">
      <w:pPr>
        <w:suppressAutoHyphens w:val="0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___________________________________</w:t>
      </w:r>
    </w:p>
    <w:p w:rsidR="00B968D4" w:rsidRPr="00F93D82" w:rsidRDefault="00B968D4" w:rsidP="00B968D4">
      <w:pPr>
        <w:suppressAutoHyphens w:val="0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___________________________________</w:t>
      </w:r>
    </w:p>
    <w:p w:rsidR="00F93D82" w:rsidRPr="00F93D82" w:rsidRDefault="00B968D4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</w:t>
      </w:r>
      <w:r w:rsidR="00F93D82" w:rsidRPr="00F93D82">
        <w:rPr>
          <w:sz w:val="26"/>
          <w:szCs w:val="26"/>
          <w:lang w:eastAsia="ru-RU"/>
        </w:rPr>
        <w:t>(Ф.И.О., замещаемая должность)</w:t>
      </w:r>
    </w:p>
    <w:p w:rsidR="00B968D4" w:rsidRDefault="00B968D4" w:rsidP="00B968D4">
      <w:pPr>
        <w:suppressAutoHyphens w:val="0"/>
        <w:jc w:val="center"/>
        <w:rPr>
          <w:sz w:val="26"/>
          <w:szCs w:val="26"/>
          <w:lang w:eastAsia="ru-RU"/>
        </w:rPr>
      </w:pPr>
    </w:p>
    <w:p w:rsidR="00F93D82" w:rsidRPr="00F93D82" w:rsidRDefault="00F93D82" w:rsidP="00B968D4">
      <w:pPr>
        <w:suppressAutoHyphens w:val="0"/>
        <w:jc w:val="center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Уведомление</w:t>
      </w:r>
    </w:p>
    <w:p w:rsidR="00F93D82" w:rsidRPr="00F93D82" w:rsidRDefault="00F93D82" w:rsidP="00B968D4">
      <w:pPr>
        <w:suppressAutoHyphens w:val="0"/>
        <w:jc w:val="center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о возникновении личной заинтересованности</w:t>
      </w:r>
      <w:r w:rsidR="00B968D4">
        <w:rPr>
          <w:sz w:val="26"/>
          <w:szCs w:val="26"/>
          <w:lang w:eastAsia="ru-RU"/>
        </w:rPr>
        <w:t xml:space="preserve"> </w:t>
      </w:r>
    </w:p>
    <w:p w:rsidR="00F93D82" w:rsidRPr="00F93D82" w:rsidRDefault="00F93D82" w:rsidP="00B968D4">
      <w:pPr>
        <w:suppressAutoHyphens w:val="0"/>
        <w:jc w:val="center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при исполнении должностных обязанностей,</w:t>
      </w:r>
    </w:p>
    <w:p w:rsidR="00F93D82" w:rsidRDefault="00F93D82" w:rsidP="00B968D4">
      <w:pPr>
        <w:suppressAutoHyphens w:val="0"/>
        <w:jc w:val="center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которая приводит или может привести к конфликту интересов</w:t>
      </w:r>
    </w:p>
    <w:p w:rsidR="00B968D4" w:rsidRPr="00F93D82" w:rsidRDefault="00B968D4" w:rsidP="00B968D4">
      <w:pPr>
        <w:suppressAutoHyphens w:val="0"/>
        <w:jc w:val="center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 w:rsidR="00B968D4">
        <w:rPr>
          <w:sz w:val="26"/>
          <w:szCs w:val="26"/>
          <w:lang w:eastAsia="ru-RU"/>
        </w:rPr>
        <w:t>_____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F93D82" w:rsidRPr="00F93D82" w:rsidRDefault="00F93D82" w:rsidP="00B968D4">
      <w:pPr>
        <w:suppressAutoHyphens w:val="0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______________________________________________________________</w:t>
      </w:r>
      <w:r w:rsidR="00B968D4">
        <w:rPr>
          <w:sz w:val="26"/>
          <w:szCs w:val="26"/>
          <w:lang w:eastAsia="ru-RU"/>
        </w:rPr>
        <w:t>_________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Предлагаемые меры по предотвращению или урегулированию конфликта интересов:</w:t>
      </w:r>
      <w:r w:rsidR="009F316E">
        <w:rPr>
          <w:sz w:val="26"/>
          <w:szCs w:val="26"/>
          <w:lang w:eastAsia="ru-RU"/>
        </w:rPr>
        <w:t xml:space="preserve"> </w:t>
      </w:r>
      <w:r w:rsidRPr="00F93D82">
        <w:rPr>
          <w:sz w:val="26"/>
          <w:szCs w:val="26"/>
          <w:lang w:eastAsia="ru-RU"/>
        </w:rPr>
        <w:t>_________________________________________________________</w:t>
      </w:r>
      <w:r w:rsidR="00B968D4">
        <w:rPr>
          <w:sz w:val="26"/>
          <w:szCs w:val="26"/>
          <w:lang w:eastAsia="ru-RU"/>
        </w:rPr>
        <w:t>____________________________________________________________________________</w:t>
      </w:r>
      <w:r w:rsidR="009F316E">
        <w:rPr>
          <w:sz w:val="26"/>
          <w:szCs w:val="26"/>
          <w:lang w:eastAsia="ru-RU"/>
        </w:rPr>
        <w:t>_________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9F316E" w:rsidRDefault="009F316E" w:rsidP="009F316E">
      <w:pPr>
        <w:suppressAutoHyphens w:val="0"/>
        <w:jc w:val="both"/>
        <w:rPr>
          <w:sz w:val="26"/>
          <w:szCs w:val="26"/>
          <w:lang w:eastAsia="ru-RU"/>
        </w:rPr>
      </w:pPr>
    </w:p>
    <w:p w:rsidR="00F93D82" w:rsidRPr="00F93D82" w:rsidRDefault="009F316E" w:rsidP="009F316E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_____________________20____</w:t>
      </w:r>
      <w:r w:rsidR="00F93D82" w:rsidRPr="00F93D82">
        <w:rPr>
          <w:sz w:val="26"/>
          <w:szCs w:val="26"/>
          <w:lang w:eastAsia="ru-RU"/>
        </w:rPr>
        <w:tab/>
        <w:t>г.</w:t>
      </w:r>
      <w:r w:rsidR="00F93D82" w:rsidRPr="00F93D82">
        <w:rPr>
          <w:sz w:val="26"/>
          <w:szCs w:val="26"/>
          <w:lang w:eastAsia="ru-RU"/>
        </w:rPr>
        <w:tab/>
      </w:r>
      <w:r w:rsidR="00F93D82" w:rsidRPr="00F93D82">
        <w:rPr>
          <w:sz w:val="26"/>
          <w:szCs w:val="26"/>
          <w:lang w:eastAsia="ru-RU"/>
        </w:rPr>
        <w:tab/>
      </w:r>
    </w:p>
    <w:p w:rsidR="009F316E" w:rsidRDefault="009F316E" w:rsidP="009F316E">
      <w:pPr>
        <w:suppressAutoHyphens w:val="0"/>
        <w:jc w:val="both"/>
        <w:rPr>
          <w:sz w:val="26"/>
          <w:szCs w:val="26"/>
          <w:lang w:eastAsia="ru-RU"/>
        </w:rPr>
      </w:pPr>
    </w:p>
    <w:p w:rsidR="009F316E" w:rsidRDefault="009F316E" w:rsidP="009F316E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            _________________________</w:t>
      </w:r>
    </w:p>
    <w:p w:rsidR="00F93D82" w:rsidRPr="00F93D82" w:rsidRDefault="00F93D82" w:rsidP="009F316E">
      <w:pPr>
        <w:suppressAutoHyphens w:val="0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(подпись лица, направляющего уведомление)</w:t>
      </w:r>
      <w:r w:rsidRPr="00F93D82">
        <w:rPr>
          <w:sz w:val="26"/>
          <w:szCs w:val="26"/>
          <w:lang w:eastAsia="ru-RU"/>
        </w:rPr>
        <w:tab/>
      </w:r>
      <w:r w:rsidR="009F316E">
        <w:rPr>
          <w:sz w:val="26"/>
          <w:szCs w:val="26"/>
          <w:lang w:eastAsia="ru-RU"/>
        </w:rPr>
        <w:t xml:space="preserve">   </w:t>
      </w:r>
      <w:proofErr w:type="gramStart"/>
      <w:r w:rsidR="009F316E">
        <w:rPr>
          <w:sz w:val="26"/>
          <w:szCs w:val="26"/>
          <w:lang w:eastAsia="ru-RU"/>
        </w:rPr>
        <w:t xml:space="preserve">   </w:t>
      </w:r>
      <w:r w:rsidRPr="00F93D82">
        <w:rPr>
          <w:sz w:val="26"/>
          <w:szCs w:val="26"/>
          <w:lang w:eastAsia="ru-RU"/>
        </w:rPr>
        <w:t>(</w:t>
      </w:r>
      <w:proofErr w:type="gramEnd"/>
      <w:r w:rsidRPr="00F93D82">
        <w:rPr>
          <w:sz w:val="26"/>
          <w:szCs w:val="26"/>
          <w:lang w:eastAsia="ru-RU"/>
        </w:rPr>
        <w:t>расшифровка подписи)</w:t>
      </w:r>
    </w:p>
    <w:p w:rsidR="00F93D82" w:rsidRPr="00F93D82" w:rsidRDefault="00F93D8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Default="00F93D82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Default="00F93D82" w:rsidP="009F316E">
      <w:pPr>
        <w:suppressAutoHyphens w:val="0"/>
        <w:jc w:val="both"/>
        <w:rPr>
          <w:sz w:val="26"/>
          <w:szCs w:val="26"/>
          <w:lang w:eastAsia="ru-RU"/>
        </w:rPr>
      </w:pPr>
      <w:bookmarkStart w:id="1" w:name="_GoBack"/>
      <w:bookmarkEnd w:id="1"/>
    </w:p>
    <w:sectPr w:rsidR="00F93D82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377F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15ED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4F39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4412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155B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10E2"/>
    <w:rsid w:val="009D2737"/>
    <w:rsid w:val="009D7B50"/>
    <w:rsid w:val="009F316E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C003A"/>
    <w:rsid w:val="00AD27B5"/>
    <w:rsid w:val="00AD27F8"/>
    <w:rsid w:val="00AD5561"/>
    <w:rsid w:val="00AD6DB0"/>
    <w:rsid w:val="00AE1C7B"/>
    <w:rsid w:val="00B041BA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8D4"/>
    <w:rsid w:val="00B96AA2"/>
    <w:rsid w:val="00BA5211"/>
    <w:rsid w:val="00BB069A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01CF"/>
    <w:rsid w:val="00CB2806"/>
    <w:rsid w:val="00CB3971"/>
    <w:rsid w:val="00CC49FB"/>
    <w:rsid w:val="00CC6DE0"/>
    <w:rsid w:val="00CD0E15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43E8"/>
    <w:rsid w:val="00E258E0"/>
    <w:rsid w:val="00E25B54"/>
    <w:rsid w:val="00E2638F"/>
    <w:rsid w:val="00E3396D"/>
    <w:rsid w:val="00E37AF1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E54FD"/>
    <w:rsid w:val="00EF3182"/>
    <w:rsid w:val="00F0464B"/>
    <w:rsid w:val="00F23CDA"/>
    <w:rsid w:val="00F40955"/>
    <w:rsid w:val="00F40A6B"/>
    <w:rsid w:val="00F43EA8"/>
    <w:rsid w:val="00F81B4A"/>
    <w:rsid w:val="00F8659E"/>
    <w:rsid w:val="00F8700A"/>
    <w:rsid w:val="00F872B0"/>
    <w:rsid w:val="00F926CE"/>
    <w:rsid w:val="00F93D82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073C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529B-4EA9-4F61-A320-CDB6A8E3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56</cp:revision>
  <cp:lastPrinted>2017-08-09T17:24:00Z</cp:lastPrinted>
  <dcterms:created xsi:type="dcterms:W3CDTF">2014-04-24T13:58:00Z</dcterms:created>
  <dcterms:modified xsi:type="dcterms:W3CDTF">2017-08-10T08:52:00Z</dcterms:modified>
</cp:coreProperties>
</file>